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7676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76767"/>
          <w:spacing w:val="0"/>
          <w:sz w:val="24"/>
          <w:szCs w:val="24"/>
          <w:u w:val="none"/>
          <w:bdr w:val="none" w:color="auto" w:sz="0" w:space="0"/>
          <w:shd w:val="clear" w:fill="FFFFFF"/>
        </w:rPr>
        <w:t>各省、自治区、直辖市及新疆生产建设兵团民（宗）委（厅、局）：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7676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76767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自2013年开展全国民族团结进步示范州创建工作以来，各地竞相创建，涌现了一批先进典型，发挥了示范引领作用。2018年底，中共中央办公厅、国务院办公厅印发《关于全面深入持久开展民族团结进步创建工作 铸牢中华民族共同体意识的意见》，对新时代民族团结进步创建工作提出了新要求。为进一步推进示范创建工作制度化、规范化，经认真研究，广泛征求意见，国家民委对2014年发布的全国民族团结进步示范州（地、市、盟）测评指标进行了修改完善。新修订的测评指标总分值为100分，测评分值达到90分以上可向国家民委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67676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76767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现将修订后的全国民族团结进步示范州（地、市、盟）测评指标体系（试行）印发给你们，请结合实际遵照执行。原全国民族团结进步创建示范州（地、市、盟）测评指标（民委发〔2014〕94号附件1）失效。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67676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76767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2020-12-24T01:06:59Z</dcterms:created>
  <dc:creator>Administrator</dc:creator>
  <cp:lastModifiedBy>a 趁年轻^ω^</cp:lastModifiedBy>
  <dcterms:modified xsi:type="dcterms:W3CDTF">2020-12-24T01:07:11Z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